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start"/>
        <w:spacing w:before="0" w:after="60" w:line="300" w:lineRule="auto"/>
      </w:pPr>
      <w:r>
        <w:rPr>
          <w:rFonts w:ascii="Arial" w:hAnsi="Arial" w:cs="Arial"/>
          <w:b/>
          <w:bCs/>
          <w:sz w:val="20"/>
          <w:szCs w:val="20"/>
          <w:color w:val="0E7DB8"/>
          <w:rtl/>
        </w:rPr>
        <w:t xml:space="preserve">قالب إحكام</w:t>
      </w:r>
    </w:p>
    <w:p>
      <w:pPr>
        <w:bidi/>
        <w:jc w:val="start"/>
        <w:spacing w:before="0" w:after="60" w:line="300" w:lineRule="auto"/>
      </w:pPr>
      <w:r>
        <w:rPr>
          <w:rFonts w:ascii="Arial" w:hAnsi="Arial" w:cs="Arial"/>
          <w:b/>
          <w:bCs/>
          <w:sz w:val="40"/>
          <w:szCs w:val="40"/>
          <w:color w:val="0F1B2D"/>
          <w:rtl/>
        </w:rPr>
        <w:t xml:space="preserve">عيّنة: سياسة أمن المعلومات</w:t>
      </w:r>
    </w:p>
    <w:p>
      <w:pPr>
        <w:bidi/>
        <w:jc w:val="start"/>
        <w:spacing w:before="0" w:after="220" w:line="300" w:lineRule="auto"/>
        <w:pBdr>
          <w:bottom w:val="single" w:sz="8" w:color="0E7DB8"/>
        </w:pBdr>
      </w:pPr>
      <w:r>
        <w:rPr>
          <w:rFonts w:ascii="Arial" w:hAnsi="Arial" w:cs="Arial"/>
          <w:sz w:val="18"/>
          <w:szCs w:val="18"/>
          <w:color w:val="5C6E88"/>
          <w:rtl/>
        </w:rPr>
        <w:t xml:space="preserve">EHKAM-POL-001 · عيّنة مجانية · grc.cybers.biz</w:t>
      </w:r>
    </w:p>
    <w:p>
      <w:pPr>
        <w:bidi/>
        <w:jc w:val="both"/>
        <w:spacing w:before="0" w:after="120" w:line="300" w:lineRule="auto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هذه عيّنة مجانية تعرض الأقسام الأولى فقط، ومكتوبة باسم جهة تجريبية.</w:t>
      </w:r>
    </w:p>
    <w:p>
      <w:pPr>
        <w:bidi/>
        <w:jc w:val="start"/>
        <w:spacing w:before="260" w:after="120" w:line="300" w:lineRule="auto"/>
      </w:pPr>
      <w:r>
        <w:rPr>
          <w:rFonts w:ascii="Arial" w:hAnsi="Arial" w:cs="Arial"/>
          <w:b/>
          <w:bCs/>
          <w:sz w:val="28"/>
          <w:szCs w:val="28"/>
          <w:color w:val="0E7DB8"/>
          <w:rtl/>
        </w:rPr>
        <w:t xml:space="preserve">1. الغرض</w:t>
      </w:r>
    </w:p>
    <w:p>
      <w:pPr>
        <w:bidi/>
        <w:jc w:val="both"/>
        <w:spacing w:before="0" w:after="120" w:line="300" w:lineRule="auto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تحديد توجه جهة تجريبية في حماية أصولها المعلوماتية والتقنية، وبيان المبادئ والمسؤوليات التي تحكم سرية المعلومات وسلامتها وتوافرها، بما يدعم استمرارية الأعمال ويحقق المتطلبات التشريعية والتنظيمية ذات العلاقة.</w:t>
      </w:r>
    </w:p>
    <w:p>
      <w:pPr>
        <w:bidi/>
        <w:jc w:val="start"/>
        <w:spacing w:before="260" w:after="120" w:line="300" w:lineRule="auto"/>
      </w:pPr>
      <w:r>
        <w:rPr>
          <w:rFonts w:ascii="Arial" w:hAnsi="Arial" w:cs="Arial"/>
          <w:b/>
          <w:bCs/>
          <w:sz w:val="28"/>
          <w:szCs w:val="28"/>
          <w:color w:val="0E7DB8"/>
          <w:rtl/>
        </w:rPr>
        <w:t xml:space="preserve">2. النطاق</w:t>
      </w:r>
    </w:p>
    <w:p>
      <w:pPr>
        <w:bidi/>
        <w:jc w:val="both"/>
        <w:spacing w:before="0" w:after="120" w:line="300" w:lineRule="auto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تسري هذه السياسة على جميع الأصول المعلوماتية والتقنية المملوكة للجهة أو المدارة نيابة عنها، وعلى جميع العاملين والمتعاقدين والأطراف الخارجية الذين يصلون إلى تلك الأصول، داخل مقر الجهة وخارجه.</w:t>
      </w:r>
    </w:p>
    <w:p>
      <w:pPr>
        <w:bidi/>
        <w:jc w:val="start"/>
        <w:spacing w:before="260" w:after="120" w:line="300" w:lineRule="auto"/>
      </w:pPr>
      <w:r>
        <w:rPr>
          <w:rFonts w:ascii="Arial" w:hAnsi="Arial" w:cs="Arial"/>
          <w:b/>
          <w:bCs/>
          <w:sz w:val="28"/>
          <w:szCs w:val="28"/>
          <w:color w:val="0E7DB8"/>
          <w:rtl/>
        </w:rPr>
        <w:t xml:space="preserve">3. المبادئ الحاكمة</w:t>
      </w:r>
    </w:p>
    <w:p>
      <w:pPr>
        <w:bidi/>
        <w:numPr>
          <w:ilvl w:val="0"/>
          <w:numId w:val="1"/>
        </w:numPr>
        <w:jc w:val="start"/>
        <w:spacing w:before="0" w:after="90" w:line="300" w:lineRule="auto"/>
        <w:ind w:right="340" w:hanging="220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تُصنّف المعلومات حسب حساسيتها، وتُطبّق عليها ضوابط حماية تتناسب مع تصنيفها.</w:t>
      </w:r>
    </w:p>
    <w:p>
      <w:pPr>
        <w:bidi/>
        <w:numPr>
          <w:ilvl w:val="0"/>
          <w:numId w:val="1"/>
        </w:numPr>
        <w:jc w:val="start"/>
        <w:spacing w:before="0" w:after="90" w:line="300" w:lineRule="auto"/>
        <w:ind w:right="340" w:hanging="220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يُمنح الوصول وفق مبدأ الحد الأدنى من الصلاحيات ومبدأ الحاجة إلى المعرفة.</w:t>
      </w:r>
    </w:p>
    <w:p>
      <w:pPr>
        <w:bidi/>
        <w:numPr>
          <w:ilvl w:val="0"/>
          <w:numId w:val="1"/>
        </w:numPr>
        <w:jc w:val="start"/>
        <w:spacing w:before="0" w:after="90" w:line="300" w:lineRule="auto"/>
        <w:ind w:right="340" w:hanging="220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تُدار مخاطر الأمن السيبراني بمنهجية موثقة، وتُراجع دوريًا وعند كل تغيير جوهري.</w:t>
      </w:r>
    </w:p>
    <w:p>
      <w:pPr>
        <w:bidi/>
        <w:jc w:val="both"/>
        <w:spacing w:before="0" w:after="0" w:line="300" w:lineRule="auto"/>
        <w:pBdr>
          <w:bottom w:val="single" w:sz="6" w:color="DDE6F2"/>
        </w:pBdr>
      </w:pPr>
      <w:r>
        <w:rPr>
          <w:rFonts w:ascii="Arial" w:hAnsi="Arial" w:cs="Arial"/>
          <w:sz w:val="22"/>
          <w:szCs w:val="22"/>
          <w:color w:val="0F1B2D"/>
          <w:rtl/>
        </w:rPr>
        <w:t xml:space="preserve"/>
      </w:r>
    </w:p>
    <w:p>
      <w:pPr>
        <w:bidi/>
        <w:jc w:val="start"/>
        <w:spacing w:before="260" w:after="120" w:line="300" w:lineRule="auto"/>
      </w:pPr>
      <w:r>
        <w:rPr>
          <w:rFonts w:ascii="Arial" w:hAnsi="Arial" w:cs="Arial"/>
          <w:b/>
          <w:bCs/>
          <w:sz w:val="28"/>
          <w:szCs w:val="28"/>
          <w:color w:val="0E7DB8"/>
          <w:rtl/>
        </w:rPr>
        <w:t xml:space="preserve">ما تضيفه العضوية</w:t>
      </w:r>
    </w:p>
    <w:p>
      <w:pPr>
        <w:bidi/>
        <w:jc w:val="both"/>
        <w:spacing w:before="0" w:after="120" w:line="300" w:lineRule="auto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بقية هذه السياسة، وهي الأطراف الخارجية والتوعية والأدوار والمسؤوليات والالتزام وقائمة المراجع التنظيمية، تُكتب باسم جهتكم أنتم، وهي واحدة من 30 وثيقة.</w:t>
      </w:r>
    </w:p>
    <w:tbl>
      <w:tblPr>
        <w:bidiVisual/>
        <w:tblW w:w="8600" w:type="dxa"/>
      </w:tblPr>
      <w:tblGrid>
        <w:gridCol w:w="4400"/>
        <w:gridCol w:w="4200"/>
      </w:tblGrid>
      <w:tr>
        <w:tc>
          <w:tcPr>
            <w:tcW w:w="4400" w:type="dxa"/>
            <w:shd w:val="clear" w:color="auto" w:fill="0E7DB8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  <w:color w:val="FFFFFF"/>
                <w:rtl/>
              </w:rPr>
              <w:t xml:space="preserve">ما تحصلون عليه</w:t>
            </w:r>
          </w:p>
        </w:tc>
        <w:tc>
          <w:tcPr>
            <w:tcW w:w="4200" w:type="dxa"/>
            <w:shd w:val="clear" w:color="auto" w:fill="0E7DB8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  <w:color w:val="FFFFFF"/>
                <w:rtl/>
              </w:rPr>
              <w:t xml:space="preserve">التفصيل</w:t>
            </w:r>
          </w:p>
        </w:tc>
      </w:tr>
      <w:tr>
        <w:tc>
          <w:tcPr>
            <w:tcW w:w="44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وثائق حوكمة</w:t>
            </w:r>
          </w:p>
        </w:tc>
        <w:tc>
          <w:tcPr>
            <w:tcW w:w="42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30 وثيقة في 7 حزم</w:t>
            </w:r>
          </w:p>
        </w:tc>
      </w:tr>
      <w:tr>
        <w:tc>
          <w:tcPr>
            <w:tcW w:w="44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حزم بضغطة واحدة</w:t>
            </w:r>
          </w:p>
        </w:tc>
        <w:tc>
          <w:tcPr>
            <w:tcW w:w="42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كل وثائق الحزمة باسم جهتكم في ملف واحد</w:t>
            </w:r>
          </w:p>
        </w:tc>
      </w:tr>
      <w:tr>
        <w:tc>
          <w:tcPr>
            <w:tcW w:w="44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قوائم تحقق حسب النطاق</w:t>
            </w:r>
          </w:p>
        </w:tc>
        <w:tc>
          <w:tcPr>
            <w:tcW w:w="42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20 نطاقًا عبر 10 أطر</w:t>
            </w:r>
          </w:p>
        </w:tc>
      </w:tr>
      <w:tr>
        <w:tc>
          <w:tcPr>
            <w:tcW w:w="44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تقييم ذاتي</w:t>
            </w:r>
          </w:p>
        </w:tc>
        <w:tc>
          <w:tcPr>
            <w:tcW w:w="42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1,664 ضابطًا مع تقرير مُقيَّم</w:t>
            </w:r>
          </w:p>
        </w:tc>
      </w:tr>
      <w:tr>
        <w:tc>
          <w:tcPr>
            <w:tcW w:w="44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تقرير تنفيذي</w:t>
            </w:r>
          </w:p>
        </w:tc>
        <w:tc>
          <w:tcPr>
            <w:tcW w:w="42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جاهز للطباعة وبصيغة Word قابلة للتحرير</w:t>
            </w:r>
          </w:p>
        </w:tc>
      </w:tr>
      <w:tr>
        <w:tc>
          <w:tcPr>
            <w:tcW w:w="44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الفريق</w:t>
            </w:r>
          </w:p>
        </w:tc>
        <w:tc>
          <w:tcPr>
            <w:tcW w:w="4200" w:type="dxa"/>
            <w:tcBorders>
              <w:top w:val="single" w:sz="4" w:color="DDE6F2"/>
              <w:bottom w:val="single" w:sz="4" w:color="DDE6F2"/>
              <w:left w:val="single" w:sz="4" w:color="DDE6F2"/>
              <w:right w:val="single" w:sz="4" w:color="DDE6F2"/>
            </w:tcBorders>
          </w:tcPr>
          <w:p>
            <w:pPr>
              <w:bidi/>
              <w:jc w:val="start"/>
              <w:spacing w:before="0" w:after="0" w:line="300" w:lineRule="auto"/>
            </w:pPr>
            <w:r>
              <w:rPr>
                <w:rFonts w:ascii="Arial" w:hAnsi="Arial" w:cs="Arial"/>
                <w:sz w:val="20"/>
                <w:szCs w:val="20"/>
                <w:color w:val="0F1B2D"/>
                <w:rtl/>
              </w:rPr>
              <w:t xml:space="preserve">عشرة مقاعد وأدوار وسجل تدقيق وروابط مشاركة</w:t>
            </w:r>
          </w:p>
        </w:tc>
      </w:tr>
    </w:tbl>
    <w:p>
      <w:pPr>
        <w:bidi/>
        <w:jc w:val="both"/>
        <w:spacing w:before="0" w:after="120" w:line="300" w:lineRule="auto"/>
      </w:pPr>
      <w:r>
        <w:rPr>
          <w:rFonts w:ascii="Arial" w:hAnsi="Arial" w:cs="Arial"/>
          <w:sz w:val="22"/>
          <w:szCs w:val="22"/>
          <w:color w:val="0F1B2D"/>
          <w:rtl/>
        </w:rPr>
        <w:t xml:space="preserve">فعّلوا العضوية من grc.cybers.biz/pricing</w:t>
      </w:r>
    </w:p>
    <w:p>
      <w:pPr>
        <w:bidi/>
        <w:jc w:val="start"/>
        <w:spacing w:before="300" w:after="120" w:line="300" w:lineRule="auto"/>
      </w:pPr>
      <w:r>
        <w:rPr>
          <w:rFonts w:ascii="Arial" w:hAnsi="Arial" w:cs="Arial"/>
          <w:sz w:val="17"/>
          <w:szCs w:val="17"/>
          <w:color w:val="5C6E88"/>
          <w:rtl/>
        </w:rPr>
        <w:t xml:space="preserve">قالب أصلي من إعداد سايبرز.بز عبر منصة إحكام. عدّلوه ليعكس واقع جهتكم واعتمدوه من صاحب الصلاحية قبل العمل به، وهو ليس نصًا رسميًا صادرًا عن أي جهة تنظيمية.</w:t>
      </w:r>
    </w:p>
    <w:sectPr>
      <w:pgSz w:w="11906" w:h="16838"/>
      <w:pgMar w:top="1100" w:right="1100" w:bottom="1100" w:left="1100" w:header="708" w:footer="708" w:gutter="0"/>
      <w:bidi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right"/>
      <w:pPr>
        <w:ind w:right="340" w:hanging="220"/>
      </w:pPr>
      <w:rPr>
        <w:rFonts w:ascii="Arial" w:hAnsi="Arial" w:hint="default"/>
      </w:rPr>
    </w:lvl>
  </w:abstractNum>
  <w:num w:numId="1">
    <w:abstractNumId w:val="0"/>
  </w:num>
</w:numbering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numbering" Target="numbering.xml"/>
</Relationships>
</file>